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C0CC3" w:rsidP="001C0CC3" w:rsidRDefault="001C0CC3" w14:paraId="281BF474" w14:textId="1EA7DD64">
      <w:pPr>
        <w:jc w:val="center"/>
        <w:rPr>
          <w:b w:val="1"/>
          <w:bCs w:val="1"/>
        </w:rPr>
      </w:pPr>
      <w:r w:rsidRPr="499A6D34" w:rsidR="1C6EF42F">
        <w:rPr>
          <w:b w:val="1"/>
          <w:bCs w:val="1"/>
        </w:rPr>
        <w:t>Barriers to Quality in Rural Canada’s Built Environment</w:t>
      </w:r>
      <w:r w:rsidRPr="499A6D34" w:rsidR="1C6EF42F">
        <w:rPr>
          <w:b w:val="1"/>
          <w:bCs w:val="1"/>
        </w:rPr>
        <w:t xml:space="preserve"> Integrated Literature Review (Un</w:t>
      </w:r>
      <w:r w:rsidRPr="499A6D34" w:rsidR="005C1FBE">
        <w:rPr>
          <w:b w:val="1"/>
          <w:bCs w:val="1"/>
        </w:rPr>
        <w:t>der review</w:t>
      </w:r>
      <w:r w:rsidRPr="499A6D34" w:rsidR="1C6EF42F">
        <w:rPr>
          <w:b w:val="1"/>
          <w:bCs w:val="1"/>
        </w:rPr>
        <w:t xml:space="preserve">) </w:t>
      </w:r>
    </w:p>
    <w:p w:rsidRPr="001C0CC3" w:rsidR="001C0CC3" w:rsidP="001C0CC3" w:rsidRDefault="001C0CC3" w14:paraId="09897479" w14:textId="22D95285">
      <w:pPr>
        <w:jc w:val="center"/>
      </w:pPr>
      <w:r>
        <w:rPr>
          <w:b/>
          <w:bCs/>
        </w:rPr>
        <w:t xml:space="preserve">Abdel Habaka </w:t>
      </w:r>
    </w:p>
    <w:p w:rsidRPr="001C0CC3" w:rsidR="001C0CC3" w:rsidP="001C0CC3" w:rsidRDefault="001C0CC3" w14:paraId="537DCC59" w14:textId="77777777">
      <w:r w:rsidRPr="001C0CC3">
        <w:t>Canada possesses knowledge about what quality in the built environment looks like, and most of that knowledge was written for cities. The National Building Code has begun to address operational energy through tiered efficiency requirements, though it does not yet regulate embodied carbon (National Research Council Canada, 2023). Walkability indicators, complete-streets manuals, and transit-oriented design guides fill municipal shelves. Reconciliation commitments now sit in the policy statements of the major design professions, such as the Canadian Institute of Planners (2019). Despite this, the places where that knowledge is hardest to apply, and where the gap between design intent and delivered reality is widest, are rural and remote. This section is about the rural environment, and it leans on one of them in particular: Northern Alberta and the Athabasca region, where Treaty 8 First Nations, the eight Alberta Métis Settlements, oil-sands work camps, farm country, and small municipalities share a built environment that no urban quality framework was built to describe. </w:t>
      </w:r>
    </w:p>
    <w:p w:rsidRPr="001C0CC3" w:rsidR="001C0CC3" w:rsidP="001C0CC3" w:rsidRDefault="001C0CC3" w14:paraId="1C1553BE" w14:textId="77777777">
      <w:r w:rsidRPr="001C0CC3">
        <w:t>My argument is that the gap between what we know and what gets built is a failure at every scale of the rural built environment, from the dwelling and the yard through the hamlet and settlement, the small municipality or county, the agricultural landscape, the region, and the land relationship that sits underneath all of them. The default operating state of the system, at each scale, is something less than quality: minimum compliance where there is any inspection at all, distance and cost where a city would have density and competition, data silence where a city would have monitoring, and continued colonial land arrangements underneath the rest. Designers, planners, and the community members who build most rural housing themselves are working against that grain, often without naming the grain they are working against. </w:t>
      </w:r>
    </w:p>
    <w:p w:rsidRPr="001C0CC3" w:rsidR="001C0CC3" w:rsidP="001C0CC3" w:rsidRDefault="001C0CC3" w14:paraId="793A5897" w14:textId="77777777">
      <w:r w:rsidRPr="001C0CC3">
        <w:t>The research conducted frames the response as decommodification: treating rural housing, land, and infrastructure as the basis of community wellbeing rather than as a market residual. That frame runs through this section. It also carries a set of guiding values the partnership has already articulated that rural quality should be ecologically restorative, culturally rich, socially just, economically equitable, community-empowering, and accountable across generations. The figure (see </w:t>
      </w:r>
      <w:r w:rsidRPr="001C0CC3">
        <w:rPr>
          <w:i/>
          <w:iCs/>
        </w:rPr>
        <w:t>Barriers to Quality in Canada's Rural Built Environment</w:t>
      </w:r>
      <w:r w:rsidRPr="001C0CC3">
        <w:t>) carries the multi-scale frame visually alongside the recurring barriers. The line to hold onto is that quality is a system outcome and improving it in rural Canada means acting at several scales at once. </w:t>
      </w:r>
    </w:p>
    <w:p w:rsidRPr="001C0CC3" w:rsidR="001C0CC3" w:rsidP="001C0CC3" w:rsidRDefault="001C0CC3" w14:paraId="4E659E61" w14:textId="77777777">
      <w:r w:rsidRPr="001C0CC3">
        <w:rPr>
          <w:b/>
          <w:bCs/>
        </w:rPr>
        <w:lastRenderedPageBreak/>
        <w:t>Defining quality across rural scales</w:t>
      </w:r>
      <w:r w:rsidRPr="001C0CC3">
        <w:t> </w:t>
      </w:r>
    </w:p>
    <w:p w:rsidRPr="001C0CC3" w:rsidR="001C0CC3" w:rsidP="001C0CC3" w:rsidRDefault="001C0CC3" w14:paraId="2B79BD17" w14:textId="77777777">
      <w:r w:rsidRPr="001C0CC3">
        <w:t>Each scale carries its own idea of quality, and the urban characteristics only partly transfer. At the scale of the residence, the comfort, durability, and health of the home still matter, but the relevant comparison is not a downtown condo, it is a house built in a short season, far from a supply yard, sometimes by the family that will live in it. At the hamlet and settlement scale (smallest scale for community), quality is about whether basic services reach the people who live there at all. At the scale of the agricultural landscape, it is about land, water, and the working relationship between settlement and food production. At the regional scale, it is about whether a community can reach the services its people need without leaving the region. At the scale of land relationship, the deepest scale, quality is about whose definition of land governs in the first place and the paradigm we choose to operate within. Housing quality in rural Canada is articulated in </w:t>
      </w:r>
      <w:proofErr w:type="spellStart"/>
      <w:r w:rsidRPr="001C0CC3">
        <w:t>Whitzman</w:t>
      </w:r>
      <w:proofErr w:type="spellEnd"/>
      <w:r w:rsidRPr="001C0CC3">
        <w:t> (2024) and </w:t>
      </w:r>
      <w:proofErr w:type="spellStart"/>
      <w:r w:rsidRPr="001C0CC3">
        <w:t>Parolek</w:t>
      </w:r>
      <w:proofErr w:type="spellEnd"/>
      <w:r w:rsidRPr="001C0CC3">
        <w:t> (2020) and the At Home/Chez Soi evidence base (Goering et al., 2014), and the land-relationship scale is articulated through Watts (2013), Coulthard (2014), Simpson (2017), and Tuck and Yang (2012). Holding these scales together is the point. Barriers, as it turns out, behave the same way. </w:t>
      </w:r>
    </w:p>
    <w:p w:rsidRPr="001C0CC3" w:rsidR="001C0CC3" w:rsidP="001C0CC3" w:rsidRDefault="001C0CC3" w14:paraId="7857EAA0" w14:textId="77777777">
      <w:r w:rsidRPr="001C0CC3">
        <w:rPr>
          <w:b/>
          <w:bCs/>
        </w:rPr>
        <w:t>Procurement and costs</w:t>
      </w:r>
      <w:r w:rsidRPr="001C0CC3">
        <w:t> </w:t>
      </w:r>
    </w:p>
    <w:p w:rsidRPr="001C0CC3" w:rsidR="001C0CC3" w:rsidP="001C0CC3" w:rsidRDefault="001C0CC3" w14:paraId="5FD10312" w14:textId="77777777">
      <w:r w:rsidRPr="001C0CC3">
        <w:t>Distance is the first barrier, and it shows up as cost. Delivering housing in Canada involves land, materials, labour, financing, and approvals (CMHC, 2019), and rural and remote delivery adds a premium from the start even before any walls are up. Materials travel further to reach a site near Athabasca, Wabasca, or Fort Chipewyan than one in Edmonton, the pool of contractors who will bid on a small rural job is thin or absent, and the building season in the north is short enough that contractors are pushed toward speed at the moment quality is most fragile. These cost drivers are documented across northern and rural Canada, where transportation distance and a short building season push construction costs well above southern levels (Canada Mortgage and Housing Corporation, 2021). Where a city has competitive tendering and a deep trades market, a small northern community often has neither, so the same dollar buys less house, later, and with fewer people checking the work. These are familiar realities to anyone who has built in the region, and the economic logic is not irrational on the part of the builder. It is the predictable result of a procurement and cost structure that was calibrated for density and proximity and then applied to distance. Economic logic underpins many of the decisions leading to barriers in quality.  </w:t>
      </w:r>
    </w:p>
    <w:p w:rsidRPr="001C0CC3" w:rsidR="001C0CC3" w:rsidP="001C0CC3" w:rsidRDefault="001C0CC3" w14:paraId="706FA89F" w14:textId="77777777">
      <w:r w:rsidRPr="001C0CC3">
        <w:rPr>
          <w:b/>
          <w:bCs/>
        </w:rPr>
        <w:t>Rigid rules</w:t>
      </w:r>
      <w:r w:rsidRPr="001C0CC3">
        <w:t> </w:t>
      </w:r>
    </w:p>
    <w:p w:rsidRPr="001C0CC3" w:rsidR="001C0CC3" w:rsidP="001C0CC3" w:rsidRDefault="001C0CC3" w14:paraId="06A4C8DC" w14:textId="77777777">
      <w:r w:rsidRPr="001C0CC3">
        <w:lastRenderedPageBreak/>
        <w:t>Rural land use in Alberta is governed at the wrong scale for many of the quality problems it faces. The Municipal Government Act (RSA 2000, c. M-26) gives municipalities, including rural counties and the small urban municipalities inside them, authority over planning and subdivision, and it was written to be applied by planning departments that small and northern municipalities often do not have. The National Building Code 2023 Alberta Edition (National Research Council Canada, 2023) sets the technical standard, but the standard means little without the capacity to enforce it. Code enforcement in Alberta runs through accredited municipalities and agencies staffed by certified safety codes officers under the Safety Codes Act (RSA 2000, c. S-1), and that capacity is concentrated where the population and the buildings are. A small municipality that cannot staff an inspector relies on a distant accredited agency or, in practice, on the builder's own diligence. The result is minimum-compliance optimization at best, and at worst an inspection that never happens. Servicing and zoning standards add to the mismatch when urban-calibrated requirements are applied to hamlets that will never have urban density. The point is not that codes are bad. It is that regulating the right thing at the wrong scale, with enforcement capacity that thins out with distance, does not aggregate to rural quality. The same misalignment appears where building codes and energy-rating systems are not designed to work together, which leaves performance gains on the table even when the intent is there (Abdou et al., 2026). </w:t>
      </w:r>
    </w:p>
    <w:p w:rsidRPr="001C0CC3" w:rsidR="001C0CC3" w:rsidP="001C0CC3" w:rsidRDefault="001C0CC3" w14:paraId="7ABA6561" w14:textId="77777777">
      <w:r w:rsidRPr="001C0CC3">
        <w:rPr>
          <w:b/>
          <w:bCs/>
        </w:rPr>
        <w:t>Fragmented professions</w:t>
      </w:r>
      <w:r w:rsidRPr="001C0CC3">
        <w:t> </w:t>
      </w:r>
    </w:p>
    <w:p w:rsidRPr="001C0CC3" w:rsidR="001C0CC3" w:rsidP="001C0CC3" w:rsidRDefault="001C0CC3" w14:paraId="5BD022B0" w14:textId="77777777">
      <w:r w:rsidRPr="001C0CC3">
        <w:t>Quality dies in the gaps between professions, and in rural Canada it also dies in the distance to the professions. Architects, planners, and engineers cluster in Calgary and Edmonton, where the work and the firms are. A rural county or a Treaty 8 community that needs design or planning expertise often reaches for a distant urban firm that visits rarely and cannot integrate cultural responsiveness, or it does without. Landscape and agricultural knowledge, which should be central to rural quality, rarely sits at the table with the building professions at all. The community-professional divide compounds this: the people who hold the deepest knowledge of how a rural place works, including home-building knowledge holders and agricultural knowledge holders, are seldom drawn into the design process as expertise but rather consultation. The research from Athabasca’s own model treats those knowledge holders as co-authors of rural quality, which is the corrective. The deeper fragmentation is that Indigenous planning and design remain a parallel stream rather than an integrated practice, so the colonial defaults run through the mainstream professions in parallel while the corrective sits to the side. </w:t>
      </w:r>
    </w:p>
    <w:p w:rsidRPr="001C0CC3" w:rsidR="001C0CC3" w:rsidP="001C0CC3" w:rsidRDefault="001C0CC3" w14:paraId="5ACF9BDE" w14:textId="77777777">
      <w:r w:rsidRPr="001C0CC3">
        <w:rPr>
          <w:b/>
          <w:bCs/>
        </w:rPr>
        <w:t>Weak feedback loops</w:t>
      </w:r>
      <w:r w:rsidRPr="001C0CC3">
        <w:t> </w:t>
      </w:r>
    </w:p>
    <w:p w:rsidRPr="001C0CC3" w:rsidR="001C0CC3" w:rsidP="001C0CC3" w:rsidRDefault="001C0CC3" w14:paraId="699B7CFF" w14:textId="77777777">
      <w:r w:rsidRPr="001C0CC3">
        <w:lastRenderedPageBreak/>
        <w:t>Quality cannot improve across a population if the built environment is not measured after it is occupied and the lessons are not learned into the next house, plan, or settlement. Rural and remote Canada is where this failure is sharpest, because it is where measurement is thinnest. National housing-condition data exists, and it is good as far as it goes, but it is built largely from the census (Statistics Canada, 2022; CMHC, 2025), which tells us a region's housing is overcrowded or in disrepair without telling us why a particular settlement's homes are failing. Post-occupancy evaluation, already rare in Canadian practice, is effectively absent outside the major cities. The eight Métis Settlements show this most clearly. Each one appears in the 2021 Census with its own profile, so the dwelling counts, the tenure split, and the age of the stock are on record, but the census does not publish dwelling-condition or crowding figures at the settlement scale (Statistics Canada, 2021). The condition data that exists is reported for Métis people in aggregate, not settlement by settlement (Statistics Canada, 2022). The </w:t>
      </w:r>
      <w:proofErr w:type="spellStart"/>
      <w:r w:rsidRPr="001C0CC3">
        <w:t>Otipemisiwak</w:t>
      </w:r>
      <w:proofErr w:type="spellEnd"/>
      <w:r w:rsidRPr="001C0CC3">
        <w:t> Métis Government launched a CMHC-funded Métis Housing Needs Assessment in 2025 for this specific reason; to build the settlement-level picture the national data does not provide (</w:t>
      </w:r>
      <w:proofErr w:type="spellStart"/>
      <w:r w:rsidRPr="001C0CC3">
        <w:t>Otipemisiwak</w:t>
      </w:r>
      <w:proofErr w:type="spellEnd"/>
      <w:r w:rsidRPr="001C0CC3">
        <w:t> Métis Government, 2025). Without measurement at the rural scale there is no learning, and the system keeps reproducing the same failures across houses, hamlets, and regions that no one is watching closely enough to correct. </w:t>
      </w:r>
    </w:p>
    <w:p w:rsidRPr="001C0CC3" w:rsidR="001C0CC3" w:rsidP="001C0CC3" w:rsidRDefault="001C0CC3" w14:paraId="0D172B51" w14:textId="77777777">
      <w:r w:rsidRPr="001C0CC3">
        <w:rPr>
          <w:b/>
          <w:bCs/>
        </w:rPr>
        <w:t>Colonial defaults</w:t>
      </w:r>
      <w:r w:rsidRPr="001C0CC3">
        <w:t> </w:t>
      </w:r>
    </w:p>
    <w:p w:rsidRPr="001C0CC3" w:rsidR="001C0CC3" w:rsidP="001C0CC3" w:rsidRDefault="001C0CC3" w14:paraId="4CE56C63" w14:textId="77777777">
      <w:r w:rsidRPr="001C0CC3">
        <w:t>This is the section I am most passionate to write, and I believe the most important. Canadian quality discourse still treats settler land arrangements as neutral and universal, while Indigenous land relationships are treated as different and special. In Northern Alberta the colonial default is not abstract, it is written into the land itself. Treaty 8, signed in 1899 (Crown-Indigenous Relations and Northern Affairs Canada, 2013), underlies the reserves of numerous First Nations across the north, and on-reserve housing there carries the conditions documented nationally: Indigenous people were almost twice as likely as the non-Indigenous population to live in crowded housing in 2021 (17.1% versus 9.4%) and almost three times as likely to live in a dwelling needing major repairs (16.4% versus 5.7%) (Statistics Canada, 2022). CMHC (2025) found that 43.9% of on-reserve homes failed at least one of the three core housing standards in 2021, and that off-reserve Indigenous households were 17.8% more likely than non-Indigenous households to fall below those standards. These are not finish-quality problems, they are the conditions a treaty was supposed to prevent. </w:t>
      </w:r>
    </w:p>
    <w:p w:rsidRPr="001C0CC3" w:rsidR="001C0CC3" w:rsidP="001C0CC3" w:rsidRDefault="001C0CC3" w14:paraId="187BE104" w14:textId="77777777">
      <w:r w:rsidRPr="001C0CC3">
        <w:t xml:space="preserve">The eight Alberta Métis Settlements are the other half of this story, and a distinctive one. Established under the Métis Settlements Act (RSA 2000, c. M-14, originally enacted in 1990 through the Alberta-Métis Settlements Accord), the Settlements (Buffalo Lake, East Prairie, </w:t>
      </w:r>
      <w:r w:rsidRPr="001C0CC3">
        <w:lastRenderedPageBreak/>
        <w:t>Elizabeth, Fishing Lake, Gift Lake, </w:t>
      </w:r>
      <w:proofErr w:type="spellStart"/>
      <w:r w:rsidRPr="001C0CC3">
        <w:t>Kikino</w:t>
      </w:r>
      <w:proofErr w:type="spellEnd"/>
      <w:r w:rsidRPr="001C0CC3">
        <w:t xml:space="preserve">, Paddle Prairie, and Peavine) hold 512,121 hectares, about 1.25 million acres, of collectively held land in east-central and northern Alberta (Government of Alberta, 2026). This is the only legislated, collective Métis land base in Canada (Government of Alberta, 2026.; Métis Settlements General Council, 2026). Their built environment sits between jurisdictions, neither federal nor ordinary municipality, and the condition-data gap noted above is evident here. Christensen et al. (2025) reframe northern Indigenous housing policy around exactly this kind of mismatch between northern realities and southern policy design, and </w:t>
      </w:r>
      <w:proofErr w:type="spellStart"/>
      <w:r w:rsidRPr="001C0CC3">
        <w:t>Anisman</w:t>
      </w:r>
      <w:proofErr w:type="spellEnd"/>
      <w:r w:rsidRPr="001C0CC3">
        <w:t xml:space="preserve"> et al. (2025) trace the health consequences of overcrowded and inadequate housing among Indigenous peoples in Canada, which is a key link when we know the built environment is a determinant of health. </w:t>
      </w:r>
    </w:p>
    <w:p w:rsidRPr="001C0CC3" w:rsidR="001C0CC3" w:rsidP="001C0CC3" w:rsidRDefault="001C0CC3" w14:paraId="63742221" w14:textId="77777777">
      <w:r w:rsidRPr="001C0CC3">
        <w:t>Transportation reflects the same default. Road and corridor investment in the Athabasca region has been oriented toward moving workers and industrial loads to and from the oil sands (Government of Alberta, 2011), while many Indigenous communities still face the basic problem of all-season access to services, a pattern of extraction-oriented transport documented (</w:t>
      </w:r>
      <w:proofErr w:type="spellStart"/>
      <w:r w:rsidRPr="001C0CC3">
        <w:t>Povoroznyuk</w:t>
      </w:r>
      <w:proofErr w:type="spellEnd"/>
      <w:r w:rsidRPr="001C0CC3">
        <w:t> et al., 2023), another example of </w:t>
      </w:r>
      <w:r w:rsidRPr="001C0CC3">
        <w:rPr>
          <w:i/>
          <w:iCs/>
        </w:rPr>
        <w:t>economical logic</w:t>
      </w:r>
      <w:r w:rsidRPr="001C0CC3">
        <w:t>. Highway and ice-road systems built for extraction do not become community mobility just because communities sit along them. At the landscape scale, restoration that excludes Indigenous fire knowledge and land management reproduces the erasure that settler land design began (McGregor, 2018), and the boreal north is precisely where that knowledge matters most. Underneath all of it is the ontological difference Watts (2013) calls Place-Thought, this is when settler tenure treats land as resource; Indigenous land relationship treats land as relative. Coulthard (2014) and Tuck and Yang (2012) insist that resolving this requires material land transfer, not symbolic inclusion. In Northern Alberta the Métis Settlements are one rare instance of a protected collective land base, and Land Back is built-environment policy. The methodological bridge the partnership can carry here is Two-Eyed Seeing (Bartlett, Marshall, &amp; Marshall, 2012</w:t>
      </w:r>
      <w:proofErr w:type="gramStart"/>
      <w:r w:rsidRPr="001C0CC3">
        <w:t>).The</w:t>
      </w:r>
      <w:proofErr w:type="gramEnd"/>
      <w:r w:rsidRPr="001C0CC3">
        <w:t> colonial default is the meta-barrier: it decides whose definition of rural quality counts before any of the other barriers are even reached. </w:t>
      </w:r>
    </w:p>
    <w:p w:rsidRPr="001C0CC3" w:rsidR="001C0CC3" w:rsidP="001C0CC3" w:rsidRDefault="001C0CC3" w14:paraId="794E375B" w14:textId="77777777">
      <w:r w:rsidRPr="001C0CC3">
        <w:rPr>
          <w:b/>
          <w:bCs/>
        </w:rPr>
        <w:t>Climate pressures</w:t>
      </w:r>
      <w:r w:rsidRPr="001C0CC3">
        <w:t> </w:t>
      </w:r>
    </w:p>
    <w:p w:rsidRPr="001C0CC3" w:rsidR="001C0CC3" w:rsidP="001C0CC3" w:rsidRDefault="001C0CC3" w14:paraId="48AEA96D" w14:textId="77777777">
      <w:r w:rsidRPr="001C0CC3">
        <w:t xml:space="preserve">Climate change presses on the northern built environment at every scale, and the north is where the pressure is most physical. The 2016 Fort McMurray wildfire destroyed 2,400 homes and businesses and forced the evacuation of about 88,000 people (Belleville et al., 2021). Four years later, in 2020, an ice-jam flood forced about 13,000 more residents from the same city (Canadian Red Cross, 2020). These are not background risks in Northern Alberta; they are recent built-environment events that rewrote whole neighbourhoods. The </w:t>
      </w:r>
      <w:r w:rsidRPr="001C0CC3">
        <w:lastRenderedPageBreak/>
        <w:t>ground itself adds constraint: sporadic permafrost and muskeg make foundations in the north harder and more expensive, often calling for piles or specially insulated systems (National Research Council Canada, 1965), and the short construction season compresses the work. Climate also reshapes the carbon question. As the grid decarbonizes and operational emissions fall, embodied carbon becomes the larger share of a building's footprint, which raises the value of keeping and upgrading existing rural stock rather than replacing it (Pomponi &amp; </w:t>
      </w:r>
      <w:proofErr w:type="spellStart"/>
      <w:r w:rsidRPr="001C0CC3">
        <w:t>Moncaster</w:t>
      </w:r>
      <w:proofErr w:type="spellEnd"/>
      <w:r w:rsidRPr="001C0CC3">
        <w:t>, 2018). </w:t>
      </w:r>
      <w:proofErr w:type="spellStart"/>
      <w:r w:rsidRPr="001C0CC3">
        <w:t>Malomo</w:t>
      </w:r>
      <w:proofErr w:type="spellEnd"/>
      <w:r w:rsidRPr="001C0CC3">
        <w:t>, Xie, and </w:t>
      </w:r>
      <w:proofErr w:type="spellStart"/>
      <w:r w:rsidRPr="001C0CC3">
        <w:t>Doudak</w:t>
      </w:r>
      <w:proofErr w:type="spellEnd"/>
      <w:r w:rsidRPr="001C0CC3">
        <w:t> (2024) set out a life-cycle framework for retrofitting Canada's existing buildings with mass timber, which points toward a northern opportunity: bio-based and wood-first construction that suits the region's forests and lowers embodied carbon at the same time. Climate pressure is a real constraint that rural quality must work with at every scale. </w:t>
      </w:r>
    </w:p>
    <w:p w:rsidRPr="001C0CC3" w:rsidR="001C0CC3" w:rsidP="001C0CC3" w:rsidRDefault="001C0CC3" w14:paraId="6FA68EBD" w14:textId="77777777">
      <w:r w:rsidRPr="001C0CC3">
        <w:rPr>
          <w:b/>
          <w:bCs/>
        </w:rPr>
        <w:t>Housing politics</w:t>
      </w:r>
      <w:r w:rsidRPr="001C0CC3">
        <w:t> </w:t>
      </w:r>
    </w:p>
    <w:p w:rsidRPr="001C0CC3" w:rsidR="001C0CC3" w:rsidP="001C0CC3" w:rsidRDefault="001C0CC3" w14:paraId="63BEE830" w14:textId="77777777">
      <w:r w:rsidRPr="001C0CC3">
        <w:t>Canada's housing crisis has produced a political logic in which any unit is better than none, and in rural and resource regions that logic does specific damage. Where a city debates tower height, a Northern Alberta community contends with a housing market distorted by the resource economy: work-camp and transient demand, absentee ownership, and prices set by oil-sands wages rather than local incomes, all of which push quality and security of tenure down the priority list for the people with the least power to refuse (</w:t>
      </w:r>
      <w:proofErr w:type="spellStart"/>
      <w:r w:rsidRPr="001C0CC3">
        <w:t>Okkola</w:t>
      </w:r>
      <w:proofErr w:type="spellEnd"/>
      <w:r w:rsidRPr="001C0CC3">
        <w:t> &amp; Brunelle, 2018). Housing-systems quality runs through access, tenure, and the condition of the stock together, and the resource-region market flattens all of them. The national condition data already cited (Statistics Canada, 2022; CMHC, 2025) shows where this lands hardest, on-reserve and in remote and Indigenous communities.  </w:t>
      </w:r>
    </w:p>
    <w:p w:rsidRPr="001C0CC3" w:rsidR="001C0CC3" w:rsidP="001C0CC3" w:rsidRDefault="001C0CC3" w14:paraId="2DDE5946" w14:textId="77777777">
      <w:r w:rsidRPr="001C0CC3">
        <w:t>The decommodification perspective Athabasca has built is the direct response: co-operatives, community land trusts, non-market rural housing, and the collective tenure the Métis Settlements Act already embodies treat rural housing as community infrastructure. Tenure security is itself a quality dimension (Goering et al., 2014; </w:t>
      </w:r>
      <w:proofErr w:type="spellStart"/>
      <w:r w:rsidRPr="001C0CC3">
        <w:t>Whitzman</w:t>
      </w:r>
      <w:proofErr w:type="spellEnd"/>
      <w:r w:rsidRPr="001C0CC3">
        <w:t xml:space="preserve">, 2024), and housing condition is a determinant of health (Dannenberg, Frumkin, &amp; Botchwey, 2022; </w:t>
      </w:r>
      <w:proofErr w:type="spellStart"/>
      <w:r w:rsidRPr="001C0CC3">
        <w:t>Anisman</w:t>
      </w:r>
      <w:proofErr w:type="spellEnd"/>
      <w:r w:rsidRPr="001C0CC3">
        <w:t xml:space="preserve"> et al., 2025). Framing quantity and quality as a trade-off </w:t>
      </w:r>
      <w:proofErr w:type="gramStart"/>
      <w:r w:rsidRPr="001C0CC3">
        <w:t>is</w:t>
      </w:r>
      <w:proofErr w:type="gramEnd"/>
      <w:r w:rsidRPr="001C0CC3">
        <w:t> itself the barrier. Missing-middle and modular approaches matter rurally too (</w:t>
      </w:r>
      <w:proofErr w:type="spellStart"/>
      <w:r w:rsidRPr="001C0CC3">
        <w:t>Parolek</w:t>
      </w:r>
      <w:proofErr w:type="spellEnd"/>
      <w:r w:rsidRPr="001C0CC3">
        <w:t>, 2020), but in Northern Alberta the deeper move is to take rural housing out of the resource market's logic in the first place. </w:t>
      </w:r>
    </w:p>
    <w:p w:rsidRPr="001C0CC3" w:rsidR="001C0CC3" w:rsidP="001C0CC3" w:rsidRDefault="001C0CC3" w14:paraId="4613921E" w14:textId="77777777">
      <w:r w:rsidRPr="001C0CC3">
        <w:rPr>
          <w:b/>
          <w:bCs/>
        </w:rPr>
        <w:t>Synthesis</w:t>
      </w:r>
      <w:r w:rsidRPr="001C0CC3">
        <w:t> </w:t>
      </w:r>
    </w:p>
    <w:p w:rsidRPr="001C0CC3" w:rsidR="001C0CC3" w:rsidP="001C0CC3" w:rsidRDefault="001C0CC3" w14:paraId="77D971DF" w14:textId="77777777">
      <w:r w:rsidRPr="001C0CC3">
        <w:t xml:space="preserve">The seven barriers interlock across rural scales rather than running as separate problems. Address them one at a time, or at one scale only, and the system reasserts the others. Lowering the cost premium does nothing about the enforcement-capacity gap. Better </w:t>
      </w:r>
      <w:r w:rsidRPr="001C0CC3">
        <w:lastRenderedPageBreak/>
        <w:t>codes do nothing about the data silence. Closing the data gap does nothing about who owns the land. The colonial barrier sits underneath the rest and requires structural land-governance change. Land Back is built-environment policy, and in Northern Alberta the Métis Settlements show one legislated form it can take.</w:t>
      </w:r>
    </w:p>
    <w:p w:rsidR="001C0CC3" w:rsidRDefault="001C0CC3" w14:paraId="3D9D004F" w14:textId="77777777"/>
    <w:sectPr w:rsidR="001C0CC3">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CC3"/>
    <w:rsid w:val="001C0CC3"/>
    <w:rsid w:val="005C1FBE"/>
    <w:rsid w:val="007C3A09"/>
    <w:rsid w:val="1C6EF42F"/>
    <w:rsid w:val="499A6D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33218"/>
  <w15:chartTrackingRefBased/>
  <w15:docId w15:val="{498EF39D-C95E-48AD-9556-20E7D055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C0CC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0CC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0C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0C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0C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0C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C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C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CC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C0CC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C0CC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C0CC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C0CC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C0CC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C0CC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C0CC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C0CC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C0CC3"/>
    <w:rPr>
      <w:rFonts w:eastAsiaTheme="majorEastAsia" w:cstheme="majorBidi"/>
      <w:color w:val="272727" w:themeColor="text1" w:themeTint="D8"/>
    </w:rPr>
  </w:style>
  <w:style w:type="paragraph" w:styleId="Title">
    <w:name w:val="Title"/>
    <w:basedOn w:val="Normal"/>
    <w:next w:val="Normal"/>
    <w:link w:val="TitleChar"/>
    <w:uiPriority w:val="10"/>
    <w:qFormat/>
    <w:rsid w:val="001C0CC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C0CC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C0CC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C0C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CC3"/>
    <w:pPr>
      <w:spacing w:before="160"/>
      <w:jc w:val="center"/>
    </w:pPr>
    <w:rPr>
      <w:i/>
      <w:iCs/>
      <w:color w:val="404040" w:themeColor="text1" w:themeTint="BF"/>
    </w:rPr>
  </w:style>
  <w:style w:type="character" w:styleId="QuoteChar" w:customStyle="1">
    <w:name w:val="Quote Char"/>
    <w:basedOn w:val="DefaultParagraphFont"/>
    <w:link w:val="Quote"/>
    <w:uiPriority w:val="29"/>
    <w:rsid w:val="001C0CC3"/>
    <w:rPr>
      <w:i/>
      <w:iCs/>
      <w:color w:val="404040" w:themeColor="text1" w:themeTint="BF"/>
    </w:rPr>
  </w:style>
  <w:style w:type="paragraph" w:styleId="ListParagraph">
    <w:name w:val="List Paragraph"/>
    <w:basedOn w:val="Normal"/>
    <w:uiPriority w:val="34"/>
    <w:qFormat/>
    <w:rsid w:val="001C0CC3"/>
    <w:pPr>
      <w:ind w:left="720"/>
      <w:contextualSpacing/>
    </w:pPr>
  </w:style>
  <w:style w:type="character" w:styleId="IntenseEmphasis">
    <w:name w:val="Intense Emphasis"/>
    <w:basedOn w:val="DefaultParagraphFont"/>
    <w:uiPriority w:val="21"/>
    <w:qFormat/>
    <w:rsid w:val="001C0CC3"/>
    <w:rPr>
      <w:i/>
      <w:iCs/>
      <w:color w:val="0F4761" w:themeColor="accent1" w:themeShade="BF"/>
    </w:rPr>
  </w:style>
  <w:style w:type="paragraph" w:styleId="IntenseQuote">
    <w:name w:val="Intense Quote"/>
    <w:basedOn w:val="Normal"/>
    <w:next w:val="Normal"/>
    <w:link w:val="IntenseQuoteChar"/>
    <w:uiPriority w:val="30"/>
    <w:qFormat/>
    <w:rsid w:val="001C0CC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C0CC3"/>
    <w:rPr>
      <w:i/>
      <w:iCs/>
      <w:color w:val="0F4761" w:themeColor="accent1" w:themeShade="BF"/>
    </w:rPr>
  </w:style>
  <w:style w:type="character" w:styleId="IntenseReference">
    <w:name w:val="Intense Reference"/>
    <w:basedOn w:val="DefaultParagraphFont"/>
    <w:uiPriority w:val="32"/>
    <w:qFormat/>
    <w:rsid w:val="001C0C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Abdel Habaka</dc:creator>
  <keywords/>
  <dc:description/>
  <lastModifiedBy>Abdel Habaka</lastModifiedBy>
  <revision>2</revision>
  <dcterms:created xsi:type="dcterms:W3CDTF">2026-05-25T17:10:00.0000000Z</dcterms:created>
  <dcterms:modified xsi:type="dcterms:W3CDTF">2026-05-26T03:29:50.4345785Z</dcterms:modified>
</coreProperties>
</file>